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INDITALIA REFCON LIMITED</w:t>
      </w:r>
    </w:p>
    <w:p>
      <w:pPr>
        <w:pStyle w:val="Heading1"/>
      </w:pPr>
      <w:r>
        <w:t>Policy for Determination of Materiality of Events and Information</w:t>
      </w:r>
    </w:p>
    <w:p>
      <w:pPr>
        <w:pStyle w:val="Heading2"/>
      </w:pPr>
      <w:r>
        <w:t>Preamble</w:t>
      </w:r>
    </w:p>
    <w:p>
      <w:r>
        <w:t>This Policy is framed pursuant to Regulation 30 of SEBI (LODR) Regulations, 2015 to ensure timely disclosure of material events.</w:t>
      </w:r>
    </w:p>
    <w:p>
      <w:pPr>
        <w:pStyle w:val="Heading2"/>
      </w:pPr>
      <w:r>
        <w:t>Objective</w:t>
      </w:r>
    </w:p>
    <w:p>
      <w:r>
        <w:t>- Define materiality criteria</w:t>
        <w:br/>
        <w:t>- Ensure timely disclosures</w:t>
        <w:br/>
        <w:t>- Protect investor interests</w:t>
      </w:r>
    </w:p>
    <w:p>
      <w:pPr>
        <w:pStyle w:val="Heading2"/>
      </w:pPr>
      <w:r>
        <w:t>Definitions</w:t>
      </w:r>
    </w:p>
    <w:p>
      <w:r>
        <w:t>Material events are those likely to impact financials, operations, or investor decisions.</w:t>
      </w:r>
    </w:p>
    <w:p>
      <w:pPr>
        <w:pStyle w:val="Heading2"/>
      </w:pPr>
      <w:r>
        <w:t>Categories of Events</w:t>
      </w:r>
    </w:p>
    <w:p>
      <w:r>
        <w:t>A. Deemed Material Events (mandatory disclosure)</w:t>
        <w:br/>
        <w:t>- Mergers, acquisitions</w:t>
        <w:br/>
        <w:t>- Issue of securities</w:t>
        <w:br/>
        <w:t>- Financial results</w:t>
        <w:br/>
        <w:t>- Change in directors/KMP</w:t>
        <w:br/>
        <w:t>- Fraud/defaults</w:t>
        <w:br/>
        <w:t>- Insolvency proceedings</w:t>
        <w:br/>
        <w:br/>
        <w:t>B. Events based on materiality</w:t>
        <w:br/>
        <w:t>- Expansion</w:t>
        <w:br/>
        <w:t>- Litigation</w:t>
        <w:br/>
        <w:t>- Regulatory actions</w:t>
      </w:r>
    </w:p>
    <w:p>
      <w:pPr>
        <w:pStyle w:val="Heading2"/>
      </w:pPr>
      <w:r>
        <w:t>Materiality Criteria</w:t>
      </w:r>
    </w:p>
    <w:p>
      <w:r>
        <w:t>A. Quantitative: 10% of turnover or net worth</w:t>
        <w:br/>
        <w:t>B. Qualitative: impact on reputation, operations</w:t>
        <w:br/>
        <w:t>C. Residual: as determined by KMP/Board</w:t>
      </w:r>
    </w:p>
    <w:p>
      <w:pPr>
        <w:pStyle w:val="Heading2"/>
      </w:pPr>
      <w:r>
        <w:t>Authority</w:t>
      </w:r>
    </w:p>
    <w:p>
      <w:r>
        <w:t>Managing Director, CFO, Company Secretary are authorised.</w:t>
      </w:r>
    </w:p>
    <w:p>
      <w:pPr>
        <w:pStyle w:val="Heading2"/>
      </w:pPr>
      <w:r>
        <w:t>Timelines</w:t>
      </w:r>
    </w:p>
    <w:p>
      <w:r>
        <w:t>- Within 24 hours for material events</w:t>
        <w:br/>
        <w:t>- Within 30 minutes for board outcomes</w:t>
      </w:r>
    </w:p>
    <w:p>
      <w:pPr>
        <w:pStyle w:val="Heading2"/>
      </w:pPr>
      <w:r>
        <w:t>Website Disclosure</w:t>
      </w:r>
    </w:p>
    <w:p>
      <w:r>
        <w:t>Disclosures shall be hosted for minimum 5 years.</w:t>
      </w:r>
    </w:p>
    <w:p>
      <w:pPr>
        <w:pStyle w:val="Heading2"/>
      </w:pPr>
      <w:r>
        <w:t>Annexure I – Responsibility Mapping</w:t>
      </w:r>
    </w:p>
    <w:p>
      <w:r>
        <w:t>Financial Results – Finance (CFO)</w:t>
        <w:br/>
        <w:t>Corporate Actions – Secretarial (CS)</w:t>
        <w:br/>
        <w:t>Litigation – Legal (CS)</w:t>
        <w:br/>
        <w:t>Operations – Business Heads (MD)</w:t>
      </w:r>
    </w:p>
    <w:p>
      <w:pPr>
        <w:pStyle w:val="Heading2"/>
      </w:pPr>
      <w:r>
        <w:t>Annexure II – Illustrative List (Schedule III aligned)</w:t>
      </w:r>
    </w:p>
    <w:p>
      <w:r>
        <w:t>Includes mergers, acquisitions, change in capital structure, default in payment, fraud, rating changes, agreements, regulatory actions, etc.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